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C022" w14:textId="21F3A23C" w:rsidR="00791142" w:rsidRPr="00791142" w:rsidRDefault="00791142" w:rsidP="00791142">
      <w:pPr>
        <w:jc w:val="center"/>
        <w:rPr>
          <w:rFonts w:ascii="Times New Roman" w:hAnsi="Times New Roman" w:cs="Times New Roman"/>
          <w:b/>
          <w:bCs/>
          <w:sz w:val="28"/>
          <w:szCs w:val="28"/>
          <w:lang w:val="uk-UA"/>
        </w:rPr>
      </w:pPr>
      <w:r w:rsidRPr="00791142">
        <w:rPr>
          <w:rFonts w:ascii="Times New Roman" w:hAnsi="Times New Roman" w:cs="Times New Roman"/>
          <w:b/>
          <w:bCs/>
          <w:sz w:val="28"/>
          <w:szCs w:val="28"/>
          <w:lang w:val="uk-UA"/>
        </w:rPr>
        <w:t>Порядок взаємодії із позичальником при врегулюванні простроченої заборгованості (вимоги щодо етичної поведінки)</w:t>
      </w:r>
    </w:p>
    <w:p w14:paraId="0FB287A3"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Взаємодія </w:t>
      </w:r>
      <w:proofErr w:type="spellStart"/>
      <w:r w:rsidRPr="00791142">
        <w:rPr>
          <w:rFonts w:ascii="Times New Roman" w:hAnsi="Times New Roman" w:cs="Times New Roman"/>
          <w:sz w:val="28"/>
          <w:szCs w:val="28"/>
          <w:lang w:val="uk-UA"/>
        </w:rPr>
        <w:t>кредитодавця</w:t>
      </w:r>
      <w:proofErr w:type="spellEnd"/>
      <w:r w:rsidRPr="00791142">
        <w:rPr>
          <w:rFonts w:ascii="Times New Roman" w:hAnsi="Times New Roman" w:cs="Times New Roman"/>
          <w:sz w:val="28"/>
          <w:szCs w:val="28"/>
          <w:lang w:val="uk-UA"/>
        </w:rPr>
        <w:t xml:space="preserve"> із позичальником здійснюється виключно шляхом: </w:t>
      </w:r>
    </w:p>
    <w:p w14:paraId="57C74E1B"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1) надсилання текстових повідомлень через засоби телекомунікації, у тому числі без залучення працівника </w:t>
      </w:r>
      <w:proofErr w:type="spellStart"/>
      <w:r w:rsidRPr="00791142">
        <w:rPr>
          <w:rFonts w:ascii="Times New Roman" w:hAnsi="Times New Roman" w:cs="Times New Roman"/>
          <w:sz w:val="28"/>
          <w:szCs w:val="28"/>
          <w:lang w:val="uk-UA"/>
        </w:rPr>
        <w:t>кредитодавця</w:t>
      </w:r>
      <w:proofErr w:type="spellEnd"/>
      <w:r w:rsidRPr="00791142">
        <w:rPr>
          <w:rFonts w:ascii="Times New Roman" w:hAnsi="Times New Roman" w:cs="Times New Roman"/>
          <w:sz w:val="28"/>
          <w:szCs w:val="28"/>
          <w:lang w:val="uk-UA"/>
        </w:rPr>
        <w:t xml:space="preserve"> шляхом використання програмного забезпечення або технологій; </w:t>
      </w:r>
    </w:p>
    <w:p w14:paraId="34985E22"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2) телефонних переговорів; </w:t>
      </w:r>
    </w:p>
    <w:p w14:paraId="0364FA4F"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3) особистих зустрічей (ініційованих виключно позичальником, виключно у робочий час, за місцезнаходженням відділення, в якому позичальник отримав фінансову послугу). </w:t>
      </w:r>
    </w:p>
    <w:p w14:paraId="521AD5A0"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Відповідно до чинного законодавства та нормативних актів Національного Банку України, Товариство дотримується наступних вимог. </w:t>
      </w:r>
    </w:p>
    <w:p w14:paraId="21B22855"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Під час першої взаємодії із позичальником, у рамках врегулювання простроченої заборгованості </w:t>
      </w:r>
      <w:proofErr w:type="spellStart"/>
      <w:r w:rsidRPr="00791142">
        <w:rPr>
          <w:rFonts w:ascii="Times New Roman" w:hAnsi="Times New Roman" w:cs="Times New Roman"/>
          <w:sz w:val="28"/>
          <w:szCs w:val="28"/>
          <w:lang w:val="uk-UA"/>
        </w:rPr>
        <w:t>кредитодавець</w:t>
      </w:r>
      <w:proofErr w:type="spellEnd"/>
      <w:r w:rsidRPr="00791142">
        <w:rPr>
          <w:rFonts w:ascii="Times New Roman" w:hAnsi="Times New Roman" w:cs="Times New Roman"/>
          <w:sz w:val="28"/>
          <w:szCs w:val="28"/>
          <w:lang w:val="uk-UA"/>
        </w:rPr>
        <w:t xml:space="preserve"> зобов’язаний повідомити: </w:t>
      </w:r>
    </w:p>
    <w:p w14:paraId="13079731"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1) своє повне найменування, номер телефону для здійснення зв’язку та адресу (електронну або поштову) для листування;</w:t>
      </w:r>
    </w:p>
    <w:p w14:paraId="2268E153"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 2) прізвище, власне ім’я, по батькові (за наявності) особи, яка здійснює взаємодію із позичальником, або ім’я та індекс, за допомогою якого </w:t>
      </w:r>
      <w:proofErr w:type="spellStart"/>
      <w:r w:rsidRPr="00791142">
        <w:rPr>
          <w:rFonts w:ascii="Times New Roman" w:hAnsi="Times New Roman" w:cs="Times New Roman"/>
          <w:sz w:val="28"/>
          <w:szCs w:val="28"/>
          <w:lang w:val="uk-UA"/>
        </w:rPr>
        <w:t>кредитодавець</w:t>
      </w:r>
      <w:proofErr w:type="spellEnd"/>
      <w:r w:rsidRPr="00791142">
        <w:rPr>
          <w:rFonts w:ascii="Times New Roman" w:hAnsi="Times New Roman" w:cs="Times New Roman"/>
          <w:sz w:val="28"/>
          <w:szCs w:val="28"/>
          <w:lang w:val="uk-UA"/>
        </w:rPr>
        <w:t xml:space="preserve">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791142">
        <w:rPr>
          <w:rFonts w:ascii="Times New Roman" w:hAnsi="Times New Roman" w:cs="Times New Roman"/>
          <w:sz w:val="28"/>
          <w:szCs w:val="28"/>
          <w:lang w:val="uk-UA"/>
        </w:rPr>
        <w:t>кредитодавця</w:t>
      </w:r>
      <w:proofErr w:type="spellEnd"/>
      <w:r w:rsidRPr="00791142">
        <w:rPr>
          <w:rFonts w:ascii="Times New Roman" w:hAnsi="Times New Roman" w:cs="Times New Roman"/>
          <w:sz w:val="28"/>
          <w:szCs w:val="28"/>
          <w:lang w:val="uk-UA"/>
        </w:rPr>
        <w:t xml:space="preserve">. </w:t>
      </w:r>
    </w:p>
    <w:p w14:paraId="038BE885"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3) правову підставу взаємодії; </w:t>
      </w:r>
    </w:p>
    <w:p w14:paraId="7B574808"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договором про споживчий кредит або відповідно до закону. </w:t>
      </w:r>
      <w:proofErr w:type="spellStart"/>
      <w:r w:rsidRPr="00791142">
        <w:rPr>
          <w:rFonts w:ascii="Times New Roman" w:hAnsi="Times New Roman" w:cs="Times New Roman"/>
          <w:sz w:val="28"/>
          <w:szCs w:val="28"/>
          <w:lang w:val="uk-UA"/>
        </w:rPr>
        <w:t>Кредитодавець</w:t>
      </w:r>
      <w:proofErr w:type="spellEnd"/>
      <w:r w:rsidRPr="00791142">
        <w:rPr>
          <w:rFonts w:ascii="Times New Roman" w:hAnsi="Times New Roman" w:cs="Times New Roman"/>
          <w:sz w:val="28"/>
          <w:szCs w:val="28"/>
          <w:lang w:val="uk-UA"/>
        </w:rPr>
        <w:t xml:space="preserve"> на вимогу позичальника зобов’язаний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пункті 4), особисто або шляхом направлення листа на зазначену в договорі про споживчий кредит адресу (електронну або поштову), або в інший визначений таким договором спосіб. </w:t>
      </w:r>
    </w:p>
    <w:p w14:paraId="0AE84E02" w14:textId="77777777" w:rsidR="00791142" w:rsidRDefault="00791142" w:rsidP="00791142">
      <w:pPr>
        <w:jc w:val="both"/>
        <w:rPr>
          <w:rFonts w:ascii="Times New Roman" w:hAnsi="Times New Roman" w:cs="Times New Roman"/>
          <w:sz w:val="28"/>
          <w:szCs w:val="28"/>
          <w:lang w:val="uk-UA"/>
        </w:rPr>
      </w:pPr>
      <w:proofErr w:type="spellStart"/>
      <w:r w:rsidRPr="00791142">
        <w:rPr>
          <w:rFonts w:ascii="Times New Roman" w:hAnsi="Times New Roman" w:cs="Times New Roman"/>
          <w:sz w:val="28"/>
          <w:szCs w:val="28"/>
          <w:lang w:val="uk-UA"/>
        </w:rPr>
        <w:lastRenderedPageBreak/>
        <w:t>Кредитодавець</w:t>
      </w:r>
      <w:proofErr w:type="spellEnd"/>
      <w:r w:rsidRPr="00791142">
        <w:rPr>
          <w:rFonts w:ascii="Times New Roman" w:hAnsi="Times New Roman" w:cs="Times New Roman"/>
          <w:sz w:val="28"/>
          <w:szCs w:val="28"/>
          <w:lang w:val="uk-UA"/>
        </w:rPr>
        <w:t xml:space="preserve"> не має права за власною ініціативою повторно взаємодіяти із позичальником до моменту надання підтвердних документів. Моментом надання відповідних підтвердних документів є будь-який із таких: </w:t>
      </w:r>
    </w:p>
    <w:p w14:paraId="214A34BF"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1) момент отримання кредитодавцем підтвердження направлення позичальнику, підтвердних документів - у разі направлення таких документів електронною поштою; </w:t>
      </w:r>
    </w:p>
    <w:p w14:paraId="53E6A3BD"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2) 23 година 59 хвилин десятого робочого дня з дня направлення кредитодавцем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кредитодавцем раніше зазначеного 10-денного строку. </w:t>
      </w:r>
    </w:p>
    <w:p w14:paraId="5BECB5EF" w14:textId="77777777" w:rsidR="00791142" w:rsidRDefault="00791142" w:rsidP="00791142">
      <w:pPr>
        <w:jc w:val="both"/>
        <w:rPr>
          <w:rFonts w:ascii="Times New Roman" w:hAnsi="Times New Roman" w:cs="Times New Roman"/>
          <w:sz w:val="28"/>
          <w:szCs w:val="28"/>
          <w:lang w:val="uk-UA"/>
        </w:rPr>
      </w:pPr>
      <w:proofErr w:type="spellStart"/>
      <w:r w:rsidRPr="00791142">
        <w:rPr>
          <w:rFonts w:ascii="Times New Roman" w:hAnsi="Times New Roman" w:cs="Times New Roman"/>
          <w:sz w:val="28"/>
          <w:szCs w:val="28"/>
          <w:lang w:val="uk-UA"/>
        </w:rPr>
        <w:t>Кредитодавець</w:t>
      </w:r>
      <w:proofErr w:type="spellEnd"/>
      <w:r w:rsidRPr="00791142">
        <w:rPr>
          <w:rFonts w:ascii="Times New Roman" w:hAnsi="Times New Roman" w:cs="Times New Roman"/>
          <w:sz w:val="28"/>
          <w:szCs w:val="28"/>
          <w:lang w:val="uk-UA"/>
        </w:rPr>
        <w:t xml:space="preserve"> зобов’язаний здійснювати у встановленому Національним банком України порядку фіксування кожної безпосередньої взаємодії із позичальником, за допомогою відео- та/або звукозаписувального технічного засобу з метою захисту правового інтересу учасників врегулювання простроченої заборгованості. </w:t>
      </w:r>
    </w:p>
    <w:p w14:paraId="30BBB136" w14:textId="77777777" w:rsidR="00791142" w:rsidRDefault="00791142" w:rsidP="00791142">
      <w:pPr>
        <w:jc w:val="both"/>
        <w:rPr>
          <w:rFonts w:ascii="Times New Roman" w:hAnsi="Times New Roman" w:cs="Times New Roman"/>
          <w:sz w:val="28"/>
          <w:szCs w:val="28"/>
          <w:lang w:val="uk-UA"/>
        </w:rPr>
      </w:pPr>
      <w:proofErr w:type="spellStart"/>
      <w:r w:rsidRPr="00791142">
        <w:rPr>
          <w:rFonts w:ascii="Times New Roman" w:hAnsi="Times New Roman" w:cs="Times New Roman"/>
          <w:sz w:val="28"/>
          <w:szCs w:val="28"/>
          <w:lang w:val="uk-UA"/>
        </w:rPr>
        <w:t>Кредитодавець</w:t>
      </w:r>
      <w:proofErr w:type="spellEnd"/>
      <w:r w:rsidRPr="00791142">
        <w:rPr>
          <w:rFonts w:ascii="Times New Roman" w:hAnsi="Times New Roman" w:cs="Times New Roman"/>
          <w:sz w:val="28"/>
          <w:szCs w:val="28"/>
          <w:lang w:val="uk-UA"/>
        </w:rPr>
        <w:t xml:space="preserve"> зобов’язаний попередити позичальника про таке фіксування. </w:t>
      </w:r>
      <w:proofErr w:type="spellStart"/>
      <w:r w:rsidRPr="00791142">
        <w:rPr>
          <w:rFonts w:ascii="Times New Roman" w:hAnsi="Times New Roman" w:cs="Times New Roman"/>
          <w:sz w:val="28"/>
          <w:szCs w:val="28"/>
          <w:lang w:val="uk-UA"/>
        </w:rPr>
        <w:t>Кредитодавець</w:t>
      </w:r>
      <w:proofErr w:type="spellEnd"/>
      <w:r w:rsidRPr="00791142">
        <w:rPr>
          <w:rFonts w:ascii="Times New Roman" w:hAnsi="Times New Roman" w:cs="Times New Roman"/>
          <w:sz w:val="28"/>
          <w:szCs w:val="28"/>
          <w:lang w:val="uk-UA"/>
        </w:rPr>
        <w:t xml:space="preserve"> зобов’язаний зберігати всі носії інформації, на яких зафіксовано взаємодію із позичальником (у тому числі за допомогою технічних засобів), протягом трьох років після такої взаємодії. </w:t>
      </w:r>
    </w:p>
    <w:p w14:paraId="71C73D75" w14:textId="77777777" w:rsidR="00791142" w:rsidRDefault="00791142" w:rsidP="00791142">
      <w:pPr>
        <w:jc w:val="both"/>
        <w:rPr>
          <w:rFonts w:ascii="Times New Roman" w:hAnsi="Times New Roman" w:cs="Times New Roman"/>
          <w:sz w:val="28"/>
          <w:szCs w:val="28"/>
          <w:lang w:val="uk-UA"/>
        </w:rPr>
      </w:pPr>
      <w:proofErr w:type="spellStart"/>
      <w:r w:rsidRPr="00791142">
        <w:rPr>
          <w:rFonts w:ascii="Times New Roman" w:hAnsi="Times New Roman" w:cs="Times New Roman"/>
          <w:sz w:val="28"/>
          <w:szCs w:val="28"/>
          <w:lang w:val="uk-UA"/>
        </w:rPr>
        <w:t>Кредитодавець</w:t>
      </w:r>
      <w:proofErr w:type="spellEnd"/>
      <w:r w:rsidRPr="00791142">
        <w:rPr>
          <w:rFonts w:ascii="Times New Roman" w:hAnsi="Times New Roman" w:cs="Times New Roman"/>
          <w:sz w:val="28"/>
          <w:szCs w:val="28"/>
          <w:lang w:val="uk-UA"/>
        </w:rPr>
        <w:t xml:space="preserve"> може здійснювати обробку виключно персональних даних позичальника, обов’язок з обробки яких покладений на нього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14:paraId="6C5D704A"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 </w:t>
      </w:r>
      <w:proofErr w:type="spellStart"/>
      <w:r w:rsidRPr="00791142">
        <w:rPr>
          <w:rFonts w:ascii="Times New Roman" w:hAnsi="Times New Roman" w:cs="Times New Roman"/>
          <w:sz w:val="28"/>
          <w:szCs w:val="28"/>
          <w:lang w:val="uk-UA"/>
        </w:rPr>
        <w:t>Кредитодавцю</w:t>
      </w:r>
      <w:proofErr w:type="spellEnd"/>
      <w:r w:rsidRPr="00791142">
        <w:rPr>
          <w:rFonts w:ascii="Times New Roman" w:hAnsi="Times New Roman" w:cs="Times New Roman"/>
          <w:sz w:val="28"/>
          <w:szCs w:val="28"/>
          <w:lang w:val="uk-UA"/>
        </w:rPr>
        <w:t xml:space="preserve"> при врегулюванні простроченої заборгованості забороняється здійснювати обробку таких даних про позичальника: </w:t>
      </w:r>
    </w:p>
    <w:p w14:paraId="27AC044A"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1) щодо графіка його роботи; </w:t>
      </w:r>
    </w:p>
    <w:p w14:paraId="1F2519E9"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2) щодо місця та часу відпочинку; </w:t>
      </w:r>
    </w:p>
    <w:p w14:paraId="0DEE40D7"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3) щодо поїздок у межах та за межі України; </w:t>
      </w:r>
    </w:p>
    <w:p w14:paraId="399E50B3"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4) щодо місця та часу зустрічі з рідними, друзями та іншими особами; </w:t>
      </w:r>
    </w:p>
    <w:p w14:paraId="29BEAADC"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5) щодо інформації, розміщеної в соціальних мережах; </w:t>
      </w:r>
    </w:p>
    <w:p w14:paraId="22BDAE8E"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6) щодо стану здоров’я; </w:t>
      </w:r>
    </w:p>
    <w:p w14:paraId="280696B4"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7) щодо політичних поглядів та релігійних переконань; </w:t>
      </w:r>
    </w:p>
    <w:p w14:paraId="158F98B2"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8) щодо членства у партіях та громадських об’єднаннях; </w:t>
      </w:r>
    </w:p>
    <w:p w14:paraId="2A5FA5B3"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lastRenderedPageBreak/>
        <w:t xml:space="preserve">9) фото та відеоматеріалів із зображенням позичальника, (крім випадків створення, зберігання, використання таких фото- та/або відеоматеріалів для виконання передбачених законодавством обов’язків, а також випадків створення, зберігання, використання таких фото- та/або відеоматеріалів на підставі письмової згоди позичальника). </w:t>
      </w:r>
    </w:p>
    <w:p w14:paraId="55FB427F" w14:textId="77777777" w:rsidR="00791142" w:rsidRDefault="00791142" w:rsidP="00791142">
      <w:pPr>
        <w:jc w:val="both"/>
        <w:rPr>
          <w:rFonts w:ascii="Times New Roman" w:hAnsi="Times New Roman" w:cs="Times New Roman"/>
          <w:sz w:val="28"/>
          <w:szCs w:val="28"/>
          <w:lang w:val="uk-UA"/>
        </w:rPr>
      </w:pPr>
      <w:proofErr w:type="spellStart"/>
      <w:r w:rsidRPr="00791142">
        <w:rPr>
          <w:rFonts w:ascii="Times New Roman" w:hAnsi="Times New Roman" w:cs="Times New Roman"/>
          <w:sz w:val="28"/>
          <w:szCs w:val="28"/>
          <w:lang w:val="uk-UA"/>
        </w:rPr>
        <w:t>Кредитодавець</w:t>
      </w:r>
      <w:proofErr w:type="spellEnd"/>
      <w:r w:rsidRPr="00791142">
        <w:rPr>
          <w:rFonts w:ascii="Times New Roman" w:hAnsi="Times New Roman" w:cs="Times New Roman"/>
          <w:sz w:val="28"/>
          <w:szCs w:val="28"/>
          <w:lang w:val="uk-UA"/>
        </w:rPr>
        <w:t xml:space="preserve">, фізичні та юридичні особи, залучені на договірних засадах кредитодавцем, до безпосередньої взаємодії із позичальником, зобов’язані дотримуватися вимог щодо взаємодії із позичальниками під час врегулювання простроченої заборгованості (вимог щодо етичної поведінки). </w:t>
      </w:r>
    </w:p>
    <w:p w14:paraId="725E89C8" w14:textId="77777777" w:rsidR="00791142" w:rsidRDefault="00791142" w:rsidP="00791142">
      <w:pPr>
        <w:jc w:val="both"/>
        <w:rPr>
          <w:rFonts w:ascii="Times New Roman" w:hAnsi="Times New Roman" w:cs="Times New Roman"/>
          <w:sz w:val="28"/>
          <w:szCs w:val="28"/>
          <w:lang w:val="uk-UA"/>
        </w:rPr>
      </w:pPr>
      <w:proofErr w:type="spellStart"/>
      <w:r w:rsidRPr="00791142">
        <w:rPr>
          <w:rFonts w:ascii="Times New Roman" w:hAnsi="Times New Roman" w:cs="Times New Roman"/>
          <w:sz w:val="28"/>
          <w:szCs w:val="28"/>
          <w:lang w:val="uk-UA"/>
        </w:rPr>
        <w:t>Кредитодавцю</w:t>
      </w:r>
      <w:proofErr w:type="spellEnd"/>
      <w:r w:rsidRPr="00791142">
        <w:rPr>
          <w:rFonts w:ascii="Times New Roman" w:hAnsi="Times New Roman" w:cs="Times New Roman"/>
          <w:sz w:val="28"/>
          <w:szCs w:val="28"/>
          <w:lang w:val="uk-UA"/>
        </w:rPr>
        <w:t xml:space="preserve">, фізичним та юридичним особам, залученим на договірних засадах кредитодавцем, до безпосередньої взаємодії із позичальником, при врегулюванні простроченої заборгованості забороняється: </w:t>
      </w:r>
    </w:p>
    <w:p w14:paraId="26AE0D0E"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1) здійснювати дії, що зазіхають на особисту гідність, права, свободи, власність позичальника, ставлять під загрозу життя, здоров’я, ділову репутацію позичальника, а також використовувати погрози, шантаж, вчиняти інші незаконні (неправомірні) дії стосовно нього; </w:t>
      </w:r>
    </w:p>
    <w:p w14:paraId="3387516D"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2) вводити позичальника, в оману щодо: а) розміру, характеру та підстав виникнення простроченої заборгованості, а також наслідків, що настануть для позичальника, у разі невиконання умов договору про споживчий кредит; б) передачі питання про погашення простроченої заборгованості на розгляд суду, можливості застосування до боржника заходів адміністративного і кримінального переслідування; в) належності </w:t>
      </w:r>
      <w:proofErr w:type="spellStart"/>
      <w:r w:rsidRPr="00791142">
        <w:rPr>
          <w:rFonts w:ascii="Times New Roman" w:hAnsi="Times New Roman" w:cs="Times New Roman"/>
          <w:sz w:val="28"/>
          <w:szCs w:val="28"/>
          <w:lang w:val="uk-UA"/>
        </w:rPr>
        <w:t>кредитодавця</w:t>
      </w:r>
      <w:proofErr w:type="spellEnd"/>
      <w:r w:rsidRPr="00791142">
        <w:rPr>
          <w:rFonts w:ascii="Times New Roman" w:hAnsi="Times New Roman" w:cs="Times New Roman"/>
          <w:sz w:val="28"/>
          <w:szCs w:val="28"/>
          <w:lang w:val="uk-UA"/>
        </w:rPr>
        <w:t xml:space="preserve">, фізичних та юридичних осіб, залучених на договірних засадах кредитодавцем, до безпосередньої взаємодії із позичальником, до органів державної влади та органів місцевого самоврядування; </w:t>
      </w:r>
    </w:p>
    <w:p w14:paraId="111FB001"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3) з власної ініціативи взаємодіяти із позичальником, у період з 20 до 9 години, а також у вихідні, святкові і неробочі дні; </w:t>
      </w:r>
    </w:p>
    <w:p w14:paraId="0131E880"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4) взаємодіяти із позичальником більше двох разів на добу, крім випадків додаткової взаємодії за його власною ініціативою. Взаємодія за допомогою засобів зв’язку вважається такою, що відбулася, якщо в результаті такої взаємодії особі передано змістовну інформацію про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порядок її погашення, розмір неустойки та інших платежів, що стягуються у разі невиконання зобов’язань за договором про споживчий кредит або відповідно до закону; </w:t>
      </w:r>
    </w:p>
    <w:p w14:paraId="12BDE0D3"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5) приховувати інформацію про номер контактного телефону, з якого здійснюється дзвінок або надсилається повідомлення позичальнику, про </w:t>
      </w:r>
      <w:r w:rsidRPr="00791142">
        <w:rPr>
          <w:rFonts w:ascii="Times New Roman" w:hAnsi="Times New Roman" w:cs="Times New Roman"/>
          <w:sz w:val="28"/>
          <w:szCs w:val="28"/>
          <w:lang w:val="uk-UA"/>
        </w:rPr>
        <w:lastRenderedPageBreak/>
        <w:t xml:space="preserve">поштову адресу або адресу електронної пошти, з якої надсилається повідомлення, про відправника поштового або електронного повідомлення; </w:t>
      </w:r>
    </w:p>
    <w:p w14:paraId="126DBD71"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6) використовувати функцію (сервіс) автоматичного </w:t>
      </w:r>
      <w:proofErr w:type="spellStart"/>
      <w:r w:rsidRPr="00791142">
        <w:rPr>
          <w:rFonts w:ascii="Times New Roman" w:hAnsi="Times New Roman" w:cs="Times New Roman"/>
          <w:sz w:val="28"/>
          <w:szCs w:val="28"/>
          <w:lang w:val="uk-UA"/>
        </w:rPr>
        <w:t>додзвону</w:t>
      </w:r>
      <w:proofErr w:type="spellEnd"/>
      <w:r w:rsidRPr="00791142">
        <w:rPr>
          <w:rFonts w:ascii="Times New Roman" w:hAnsi="Times New Roman" w:cs="Times New Roman"/>
          <w:sz w:val="28"/>
          <w:szCs w:val="28"/>
          <w:lang w:val="uk-UA"/>
        </w:rPr>
        <w:t xml:space="preserve"> до позичальника, протягом більше 30 хвилин на добу; </w:t>
      </w:r>
    </w:p>
    <w:p w14:paraId="5B2D4581"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7) використовувати на конвертах або повідомленнях, що надсилаються позичальнику, зображення, що можуть бути сприйняті як такі, що містять погрозу, розміщувати на конвертах або повідомленнях відомості, що прямо чи опосередковано вказують на наявність заборгованості, використовувати написи "виконавчий документ", "рішення про стягнення", "повідомлення про виселення" тощо, а також найменування органів державної влади, у тому числі осіб, які здійснюють повноваження у сфері примусового виконання рішень; </w:t>
      </w:r>
    </w:p>
    <w:p w14:paraId="3EF136F8"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8) будь-яким чином повідомляти третіх осіб (крім осіб, взаємодія з якими передбачена договором про споживчий кредит та які надали згоду на таку взаємодію) про заборгованість позичальника або здійснювати взаємодію з цими особами таким чином, щоб їм стала відома або могла стати відомою інформація про заборгованість позичальника, крім випадків взаємодії з особою, стосовно якої позичальник надав згоду на передачу їй інформації про наявність простроченої заборгованості, а також інших випадків, передбачених законом; </w:t>
      </w:r>
    </w:p>
    <w:p w14:paraId="345C907F"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9) вимагати від позичальника, а також його роботодавця та/або інших осіб прийняти на себе зобов’язання щодо простроченої заборгованості, якщо інше не передбачено договором про споживчий кредит або законом; </w:t>
      </w:r>
    </w:p>
    <w:p w14:paraId="117274CB"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10) вчиняти дії, що завдають шкоду репутації, у тому числі діловій репутації, позичальника, або погрожувати вчиненням таких дій; </w:t>
      </w:r>
    </w:p>
    <w:p w14:paraId="1EC3B46A"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11) вимагати погашення заборгованості в інший спосіб, ніж передбачено договором про споживчий кредит або законом; </w:t>
      </w:r>
    </w:p>
    <w:p w14:paraId="272451D6"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12) за власною ініціативою будь-яким чином взаємодіяти із позичальником, якщо позичальник письмово, шляхом надання всіх належним чином оформлених підтвердних документів, повідомив, що його інтереси при врегулюванні простроченої заборгованості представляє його представник; </w:t>
      </w:r>
    </w:p>
    <w:p w14:paraId="1AC795EE"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13) проводити особисті зустрічі із позичальником, без попереднього погодження таких зустрічей відповідною особою; </w:t>
      </w:r>
    </w:p>
    <w:p w14:paraId="37C66683"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14) будь-яким чином взаємодіяти з приводу укладеного позичальником договору про споживчий кредит з особами (крім позичальника, його представника, спадкоємця, поручителя, майнового поручителя), які не надали згоди на таку взаємодію. </w:t>
      </w:r>
    </w:p>
    <w:p w14:paraId="233DB54B"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lastRenderedPageBreak/>
        <w:t xml:space="preserve">Дії, які від імені </w:t>
      </w:r>
      <w:proofErr w:type="spellStart"/>
      <w:r w:rsidRPr="00791142">
        <w:rPr>
          <w:rFonts w:ascii="Times New Roman" w:hAnsi="Times New Roman" w:cs="Times New Roman"/>
          <w:sz w:val="28"/>
          <w:szCs w:val="28"/>
          <w:lang w:val="uk-UA"/>
        </w:rPr>
        <w:t>кредитодавця</w:t>
      </w:r>
      <w:proofErr w:type="spellEnd"/>
      <w:r w:rsidRPr="00791142">
        <w:rPr>
          <w:rFonts w:ascii="Times New Roman" w:hAnsi="Times New Roman" w:cs="Times New Roman"/>
          <w:sz w:val="28"/>
          <w:szCs w:val="28"/>
          <w:lang w:val="uk-UA"/>
        </w:rPr>
        <w:t xml:space="preserve"> вчиняються третіми особами, залученими на договірних засадах кредитодавцем до безпосередньої взаємодії із позичальником, вважаються вчиненими таким кредитодавцем. </w:t>
      </w:r>
    </w:p>
    <w:p w14:paraId="4A06E468"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Забороняється покладати на позичальника обов’язок з оплати/компенсації витрат на здійснення врегулювання простроченої заборгованості. Витрати на врегулювання простроченої заборгованості, крім оплати зобов’язань за договором про споживчий кредит здійснюються виключно за рахунок коштів </w:t>
      </w:r>
      <w:proofErr w:type="spellStart"/>
      <w:r w:rsidRPr="00791142">
        <w:rPr>
          <w:rFonts w:ascii="Times New Roman" w:hAnsi="Times New Roman" w:cs="Times New Roman"/>
          <w:sz w:val="28"/>
          <w:szCs w:val="28"/>
          <w:lang w:val="uk-UA"/>
        </w:rPr>
        <w:t>кредитодавця</w:t>
      </w:r>
      <w:proofErr w:type="spellEnd"/>
      <w:r w:rsidRPr="00791142">
        <w:rPr>
          <w:rFonts w:ascii="Times New Roman" w:hAnsi="Times New Roman" w:cs="Times New Roman"/>
          <w:sz w:val="28"/>
          <w:szCs w:val="28"/>
          <w:lang w:val="uk-UA"/>
        </w:rPr>
        <w:t xml:space="preserve">. </w:t>
      </w:r>
    </w:p>
    <w:p w14:paraId="0008ECEB"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З ініціативи </w:t>
      </w:r>
      <w:proofErr w:type="spellStart"/>
      <w:r w:rsidRPr="00791142">
        <w:rPr>
          <w:rFonts w:ascii="Times New Roman" w:hAnsi="Times New Roman" w:cs="Times New Roman"/>
          <w:sz w:val="28"/>
          <w:szCs w:val="28"/>
          <w:lang w:val="uk-UA"/>
        </w:rPr>
        <w:t>кредитодавця</w:t>
      </w:r>
      <w:proofErr w:type="spellEnd"/>
      <w:r w:rsidRPr="00791142">
        <w:rPr>
          <w:rFonts w:ascii="Times New Roman" w:hAnsi="Times New Roman" w:cs="Times New Roman"/>
          <w:sz w:val="28"/>
          <w:szCs w:val="28"/>
          <w:lang w:val="uk-UA"/>
        </w:rPr>
        <w:t xml:space="preserve"> або третьої особи, яка діє від його імені та/або в його інтересах, не допускається спрямована на повернення простроченої заборгованості безпосередня взаємодія із позичальником з моменту отримання документів, які свідчать, що така особа: </w:t>
      </w:r>
    </w:p>
    <w:p w14:paraId="4A1E5E0A"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1) є недієздатною особою або особою, обмеженою в дієздатності; </w:t>
      </w:r>
    </w:p>
    <w:p w14:paraId="4FA6982E"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2) перебуває на стаціонарному лікуванні в закладі охорони здоров’я; </w:t>
      </w:r>
    </w:p>
    <w:p w14:paraId="511F7E88"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3) є особою з інвалідністю I групи; </w:t>
      </w:r>
    </w:p>
    <w:p w14:paraId="5723B125"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4) є неповнолітньою особою. </w:t>
      </w:r>
    </w:p>
    <w:p w14:paraId="02E6DE42"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У разі неподання документів, що підтверджують наявність обставин, передбачених цим пунктом, їх наявність вважається непідтвердженою. </w:t>
      </w:r>
    </w:p>
    <w:p w14:paraId="2893D50F" w14:textId="77777777" w:rsidR="00791142" w:rsidRPr="00BC2E35" w:rsidRDefault="00791142" w:rsidP="00791142">
      <w:pPr>
        <w:jc w:val="both"/>
        <w:rPr>
          <w:rFonts w:ascii="Times New Roman" w:hAnsi="Times New Roman" w:cs="Times New Roman"/>
          <w:b/>
          <w:bCs/>
          <w:sz w:val="28"/>
          <w:szCs w:val="28"/>
          <w:lang w:val="uk-UA"/>
        </w:rPr>
      </w:pPr>
      <w:proofErr w:type="spellStart"/>
      <w:r w:rsidRPr="00BC2E35">
        <w:rPr>
          <w:rFonts w:ascii="Times New Roman" w:hAnsi="Times New Roman" w:cs="Times New Roman"/>
          <w:b/>
          <w:bCs/>
          <w:sz w:val="28"/>
          <w:szCs w:val="28"/>
          <w:lang w:val="uk-UA"/>
        </w:rPr>
        <w:t>Кредитодавець</w:t>
      </w:r>
      <w:proofErr w:type="spellEnd"/>
      <w:r w:rsidRPr="00BC2E35">
        <w:rPr>
          <w:rFonts w:ascii="Times New Roman" w:hAnsi="Times New Roman" w:cs="Times New Roman"/>
          <w:b/>
          <w:bCs/>
          <w:sz w:val="28"/>
          <w:szCs w:val="28"/>
          <w:lang w:val="uk-UA"/>
        </w:rPr>
        <w:t xml:space="preserve"> не взаємодіє за власною ініціативою з позичальником, що належить до захищеної категорії, та з його близькими особами. </w:t>
      </w:r>
    </w:p>
    <w:p w14:paraId="13B23334"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До категорії захищених осіб віднесено: </w:t>
      </w:r>
    </w:p>
    <w:p w14:paraId="100B363D"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 військовослужбовців Збройних Сил України, інших утворених відповідно до законів України військових формувань та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проходять військову службу на території України; </w:t>
      </w:r>
    </w:p>
    <w:p w14:paraId="58BE0A7D"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 військовослужбовців, які стали особами з інвалідністю внаслідок захворювання, пов'язаного з проходженням військової служби, чи внаслідок захворювання після звільнення їх з військової служби, пов'язаного з проходженням військової служби; </w:t>
      </w:r>
    </w:p>
    <w:p w14:paraId="55C8687F" w14:textId="77777777" w:rsid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 членів сімей військовослужбовців, які загинули, померли чи пропали безвісти; осіб – які перебувають у полоні; з якими втрачено зв'язок; зниклих безвісти. Якщо такі особи не бажають під час дії воєнного стану та протягом 90 днів із дня його припинення або скасування отримувати в будь-який спосіб нагадування про необхідність сплати чергового платежу за кредитом, їм (або їхнім близьким особам) слід: </w:t>
      </w:r>
    </w:p>
    <w:p w14:paraId="1B2E8C63" w14:textId="4EB5E933" w:rsidR="00791142" w:rsidRDefault="00791142" w:rsidP="0079114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Pr="00791142">
        <w:rPr>
          <w:rFonts w:ascii="Times New Roman" w:hAnsi="Times New Roman" w:cs="Times New Roman"/>
          <w:sz w:val="28"/>
          <w:szCs w:val="28"/>
          <w:lang w:val="uk-UA"/>
        </w:rPr>
        <w:t xml:space="preserve"> повідомити про це свого </w:t>
      </w:r>
      <w:proofErr w:type="spellStart"/>
      <w:r w:rsidRPr="00791142">
        <w:rPr>
          <w:rFonts w:ascii="Times New Roman" w:hAnsi="Times New Roman" w:cs="Times New Roman"/>
          <w:sz w:val="28"/>
          <w:szCs w:val="28"/>
          <w:lang w:val="uk-UA"/>
        </w:rPr>
        <w:t>кредитодавця</w:t>
      </w:r>
      <w:proofErr w:type="spellEnd"/>
      <w:r w:rsidRPr="00791142">
        <w:rPr>
          <w:rFonts w:ascii="Times New Roman" w:hAnsi="Times New Roman" w:cs="Times New Roman"/>
          <w:sz w:val="28"/>
          <w:szCs w:val="28"/>
          <w:lang w:val="uk-UA"/>
        </w:rPr>
        <w:t xml:space="preserve">, нового кредитора, колекторську компанію; </w:t>
      </w:r>
    </w:p>
    <w:p w14:paraId="362B1164" w14:textId="3BD13D74" w:rsidR="00791142" w:rsidRDefault="00791142" w:rsidP="00791142">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791142">
        <w:rPr>
          <w:rFonts w:ascii="Times New Roman" w:hAnsi="Times New Roman" w:cs="Times New Roman"/>
          <w:sz w:val="28"/>
          <w:szCs w:val="28"/>
          <w:lang w:val="uk-UA"/>
        </w:rPr>
        <w:t xml:space="preserve"> надати йому копії відповідних підтвердних документів про свою належність до захищеної категорії. </w:t>
      </w:r>
    </w:p>
    <w:p w14:paraId="69AEDFD4" w14:textId="63CC782C" w:rsidR="00E31BB8" w:rsidRPr="00791142" w:rsidRDefault="00791142" w:rsidP="00791142">
      <w:pPr>
        <w:jc w:val="both"/>
        <w:rPr>
          <w:rFonts w:ascii="Times New Roman" w:hAnsi="Times New Roman" w:cs="Times New Roman"/>
          <w:sz w:val="28"/>
          <w:szCs w:val="28"/>
          <w:lang w:val="uk-UA"/>
        </w:rPr>
      </w:pPr>
      <w:r w:rsidRPr="00791142">
        <w:rPr>
          <w:rFonts w:ascii="Times New Roman" w:hAnsi="Times New Roman" w:cs="Times New Roman"/>
          <w:sz w:val="28"/>
          <w:szCs w:val="28"/>
          <w:lang w:val="uk-UA"/>
        </w:rPr>
        <w:t xml:space="preserve">Водночас позичальник, який втратив належність до захищеної категорії, зобов’язаний повідомити про це </w:t>
      </w:r>
      <w:proofErr w:type="spellStart"/>
      <w:r w:rsidRPr="00791142">
        <w:rPr>
          <w:rFonts w:ascii="Times New Roman" w:hAnsi="Times New Roman" w:cs="Times New Roman"/>
          <w:sz w:val="28"/>
          <w:szCs w:val="28"/>
          <w:lang w:val="uk-UA"/>
        </w:rPr>
        <w:t>кредитодавця</w:t>
      </w:r>
      <w:proofErr w:type="spellEnd"/>
      <w:r w:rsidRPr="00791142">
        <w:rPr>
          <w:rFonts w:ascii="Times New Roman" w:hAnsi="Times New Roman" w:cs="Times New Roman"/>
          <w:sz w:val="28"/>
          <w:szCs w:val="28"/>
          <w:lang w:val="uk-UA"/>
        </w:rPr>
        <w:t>, нового кредитора протягом 30 календарних днів із дня втрати належності до цієї категорії.</w:t>
      </w:r>
    </w:p>
    <w:sectPr w:rsidR="00E31BB8" w:rsidRPr="00791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C0B"/>
    <w:multiLevelType w:val="multilevel"/>
    <w:tmpl w:val="812024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444EF"/>
    <w:multiLevelType w:val="multilevel"/>
    <w:tmpl w:val="7DF224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05684"/>
    <w:multiLevelType w:val="multilevel"/>
    <w:tmpl w:val="935A6AC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807119"/>
    <w:multiLevelType w:val="multilevel"/>
    <w:tmpl w:val="1F623CD4"/>
    <w:lvl w:ilvl="0">
      <w:start w:val="2"/>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B92211"/>
    <w:multiLevelType w:val="hybridMultilevel"/>
    <w:tmpl w:val="6EB21CDE"/>
    <w:lvl w:ilvl="0" w:tplc="79B0E936">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9A4B402">
      <w:start w:val="1"/>
      <w:numFmt w:val="bullet"/>
      <w:lvlText w:val="-"/>
      <w:lvlJc w:val="left"/>
      <w:pPr>
        <w:ind w:left="2880" w:hanging="360"/>
      </w:pPr>
      <w:rPr>
        <w:rFonts w:ascii="Sylfaen" w:hAnsi="Sylfae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05C26"/>
    <w:multiLevelType w:val="multilevel"/>
    <w:tmpl w:val="B6E8933E"/>
    <w:lvl w:ilvl="0">
      <w:start w:val="4"/>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B17FF5"/>
    <w:multiLevelType w:val="multilevel"/>
    <w:tmpl w:val="5B08CA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5B6B22"/>
    <w:multiLevelType w:val="multilevel"/>
    <w:tmpl w:val="942E2C04"/>
    <w:lvl w:ilvl="0">
      <w:start w:val="1"/>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2CB97F30"/>
    <w:multiLevelType w:val="multilevel"/>
    <w:tmpl w:val="7170424A"/>
    <w:lvl w:ilvl="0">
      <w:start w:val="4"/>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C07C60"/>
    <w:multiLevelType w:val="multilevel"/>
    <w:tmpl w:val="06ECC86A"/>
    <w:lvl w:ilvl="0">
      <w:start w:val="7"/>
      <w:numFmt w:val="decimal"/>
      <w:lvlText w:val="%1."/>
      <w:lvlJc w:val="left"/>
      <w:pPr>
        <w:ind w:left="360" w:hanging="360"/>
      </w:pPr>
      <w:rPr>
        <w:rFonts w:eastAsia="Times New Roman" w:hint="default"/>
        <w:color w:val="auto"/>
        <w:sz w:val="24"/>
      </w:rPr>
    </w:lvl>
    <w:lvl w:ilvl="1">
      <w:start w:val="1"/>
      <w:numFmt w:val="decimal"/>
      <w:lvlText w:val="%1.%2."/>
      <w:lvlJc w:val="left"/>
      <w:pPr>
        <w:ind w:left="360" w:hanging="360"/>
      </w:pPr>
      <w:rPr>
        <w:rFonts w:eastAsia="Times New Roman" w:hint="default"/>
        <w:color w:val="auto"/>
        <w:sz w:val="22"/>
        <w:szCs w:val="22"/>
      </w:rPr>
    </w:lvl>
    <w:lvl w:ilvl="2">
      <w:start w:val="1"/>
      <w:numFmt w:val="decimal"/>
      <w:lvlText w:val="%1.%2.%3."/>
      <w:lvlJc w:val="left"/>
      <w:pPr>
        <w:ind w:left="720" w:hanging="720"/>
      </w:pPr>
      <w:rPr>
        <w:rFonts w:eastAsia="Times New Roman" w:hint="default"/>
        <w:color w:val="auto"/>
        <w:sz w:val="24"/>
      </w:rPr>
    </w:lvl>
    <w:lvl w:ilvl="3">
      <w:start w:val="1"/>
      <w:numFmt w:val="decimal"/>
      <w:lvlText w:val="%1.%2.%3.%4."/>
      <w:lvlJc w:val="left"/>
      <w:pPr>
        <w:ind w:left="720" w:hanging="72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080" w:hanging="1080"/>
      </w:pPr>
      <w:rPr>
        <w:rFonts w:eastAsia="Times New Roman" w:hint="default"/>
        <w:color w:val="auto"/>
        <w:sz w:val="24"/>
      </w:rPr>
    </w:lvl>
    <w:lvl w:ilvl="6">
      <w:start w:val="1"/>
      <w:numFmt w:val="decimal"/>
      <w:lvlText w:val="%1.%2.%3.%4.%5.%6.%7."/>
      <w:lvlJc w:val="left"/>
      <w:pPr>
        <w:ind w:left="1440" w:hanging="1440"/>
      </w:pPr>
      <w:rPr>
        <w:rFonts w:eastAsia="Times New Roman" w:hint="default"/>
        <w:color w:val="auto"/>
        <w:sz w:val="24"/>
      </w:rPr>
    </w:lvl>
    <w:lvl w:ilvl="7">
      <w:start w:val="1"/>
      <w:numFmt w:val="decimal"/>
      <w:lvlText w:val="%1.%2.%3.%4.%5.%6.%7.%8."/>
      <w:lvlJc w:val="left"/>
      <w:pPr>
        <w:ind w:left="1440" w:hanging="1440"/>
      </w:pPr>
      <w:rPr>
        <w:rFonts w:eastAsia="Times New Roman" w:hint="default"/>
        <w:color w:val="auto"/>
        <w:sz w:val="24"/>
      </w:rPr>
    </w:lvl>
    <w:lvl w:ilvl="8">
      <w:start w:val="1"/>
      <w:numFmt w:val="decimal"/>
      <w:lvlText w:val="%1.%2.%3.%4.%5.%6.%7.%8.%9."/>
      <w:lvlJc w:val="left"/>
      <w:pPr>
        <w:ind w:left="1800" w:hanging="1800"/>
      </w:pPr>
      <w:rPr>
        <w:rFonts w:eastAsia="Times New Roman" w:hint="default"/>
        <w:color w:val="auto"/>
        <w:sz w:val="24"/>
      </w:rPr>
    </w:lvl>
  </w:abstractNum>
  <w:abstractNum w:abstractNumId="10" w15:restartNumberingAfterBreak="0">
    <w:nsid w:val="2D332D80"/>
    <w:multiLevelType w:val="multilevel"/>
    <w:tmpl w:val="6600792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A22930"/>
    <w:multiLevelType w:val="multilevel"/>
    <w:tmpl w:val="B91C183E"/>
    <w:lvl w:ilvl="0">
      <w:start w:val="3"/>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C07C7D"/>
    <w:multiLevelType w:val="multilevel"/>
    <w:tmpl w:val="59161D2E"/>
    <w:lvl w:ilvl="0">
      <w:start w:val="5"/>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4D38BE"/>
    <w:multiLevelType w:val="multilevel"/>
    <w:tmpl w:val="18A03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9D1155"/>
    <w:multiLevelType w:val="multilevel"/>
    <w:tmpl w:val="B232A5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9434B1"/>
    <w:multiLevelType w:val="multilevel"/>
    <w:tmpl w:val="1B2CB89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06C5445"/>
    <w:multiLevelType w:val="multilevel"/>
    <w:tmpl w:val="20FCC41C"/>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167D5C"/>
    <w:multiLevelType w:val="multilevel"/>
    <w:tmpl w:val="1A6C02BC"/>
    <w:lvl w:ilvl="0">
      <w:start w:val="4"/>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FC3AA2"/>
    <w:multiLevelType w:val="multilevel"/>
    <w:tmpl w:val="3214A6E2"/>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596C93"/>
    <w:multiLevelType w:val="multilevel"/>
    <w:tmpl w:val="1B6C86F6"/>
    <w:lvl w:ilvl="0">
      <w:start w:val="1"/>
      <w:numFmt w:val="bullet"/>
      <w:lvlText w:val=""/>
      <w:lvlJc w:val="left"/>
      <w:pPr>
        <w:ind w:left="660" w:hanging="660"/>
      </w:pPr>
      <w:rPr>
        <w:rFonts w:ascii="Symbol" w:hAnsi="Symbol" w:hint="default"/>
      </w:rPr>
    </w:lvl>
    <w:lvl w:ilvl="1">
      <w:start w:val="1"/>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74E71DE4"/>
    <w:multiLevelType w:val="multilevel"/>
    <w:tmpl w:val="FB52328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040B87"/>
    <w:multiLevelType w:val="multilevel"/>
    <w:tmpl w:val="EADC8E2E"/>
    <w:lvl w:ilvl="0">
      <w:start w:val="3"/>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4"/>
  </w:num>
  <w:num w:numId="3">
    <w:abstractNumId w:val="7"/>
  </w:num>
  <w:num w:numId="4">
    <w:abstractNumId w:val="19"/>
  </w:num>
  <w:num w:numId="5">
    <w:abstractNumId w:val="15"/>
  </w:num>
  <w:num w:numId="6">
    <w:abstractNumId w:val="4"/>
  </w:num>
  <w:num w:numId="7">
    <w:abstractNumId w:val="1"/>
  </w:num>
  <w:num w:numId="8">
    <w:abstractNumId w:val="18"/>
  </w:num>
  <w:num w:numId="9">
    <w:abstractNumId w:val="3"/>
  </w:num>
  <w:num w:numId="10">
    <w:abstractNumId w:val="21"/>
  </w:num>
  <w:num w:numId="11">
    <w:abstractNumId w:val="16"/>
  </w:num>
  <w:num w:numId="12">
    <w:abstractNumId w:val="11"/>
  </w:num>
  <w:num w:numId="13">
    <w:abstractNumId w:val="5"/>
  </w:num>
  <w:num w:numId="14">
    <w:abstractNumId w:val="8"/>
  </w:num>
  <w:num w:numId="15">
    <w:abstractNumId w:val="17"/>
  </w:num>
  <w:num w:numId="16">
    <w:abstractNumId w:val="12"/>
  </w:num>
  <w:num w:numId="17">
    <w:abstractNumId w:val="10"/>
  </w:num>
  <w:num w:numId="18">
    <w:abstractNumId w:val="2"/>
  </w:num>
  <w:num w:numId="19">
    <w:abstractNumId w:val="20"/>
  </w:num>
  <w:num w:numId="20">
    <w:abstractNumId w:val="9"/>
  </w:num>
  <w:num w:numId="21">
    <w:abstractNumId w:val="6"/>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37"/>
    <w:rsid w:val="00012557"/>
    <w:rsid w:val="00017A45"/>
    <w:rsid w:val="00022D8F"/>
    <w:rsid w:val="00030F07"/>
    <w:rsid w:val="0004673B"/>
    <w:rsid w:val="00050033"/>
    <w:rsid w:val="00052A1F"/>
    <w:rsid w:val="0009508E"/>
    <w:rsid w:val="000A437D"/>
    <w:rsid w:val="000B6344"/>
    <w:rsid w:val="000C5DA0"/>
    <w:rsid w:val="000E4A63"/>
    <w:rsid w:val="00100CCC"/>
    <w:rsid w:val="001054B9"/>
    <w:rsid w:val="001057B3"/>
    <w:rsid w:val="00111B90"/>
    <w:rsid w:val="00147CF8"/>
    <w:rsid w:val="001749D0"/>
    <w:rsid w:val="00181A19"/>
    <w:rsid w:val="001A1A5D"/>
    <w:rsid w:val="001B1540"/>
    <w:rsid w:val="001B3D2A"/>
    <w:rsid w:val="001C1ECE"/>
    <w:rsid w:val="001D048B"/>
    <w:rsid w:val="001D38E1"/>
    <w:rsid w:val="001D58D6"/>
    <w:rsid w:val="001F1A10"/>
    <w:rsid w:val="002142D7"/>
    <w:rsid w:val="002376BF"/>
    <w:rsid w:val="0024113B"/>
    <w:rsid w:val="00242C0E"/>
    <w:rsid w:val="0024729D"/>
    <w:rsid w:val="002639AC"/>
    <w:rsid w:val="002A4697"/>
    <w:rsid w:val="002C0F18"/>
    <w:rsid w:val="002E0627"/>
    <w:rsid w:val="00343BB0"/>
    <w:rsid w:val="00366214"/>
    <w:rsid w:val="00376994"/>
    <w:rsid w:val="003841E4"/>
    <w:rsid w:val="003A0356"/>
    <w:rsid w:val="003A5439"/>
    <w:rsid w:val="003B4982"/>
    <w:rsid w:val="003C4AAB"/>
    <w:rsid w:val="003C5B32"/>
    <w:rsid w:val="003D01F1"/>
    <w:rsid w:val="003D1BF6"/>
    <w:rsid w:val="003E14B2"/>
    <w:rsid w:val="003F0F38"/>
    <w:rsid w:val="003F5891"/>
    <w:rsid w:val="004158D2"/>
    <w:rsid w:val="00426DBC"/>
    <w:rsid w:val="00456004"/>
    <w:rsid w:val="00463633"/>
    <w:rsid w:val="00483785"/>
    <w:rsid w:val="00487954"/>
    <w:rsid w:val="00494363"/>
    <w:rsid w:val="004969FC"/>
    <w:rsid w:val="004A74E3"/>
    <w:rsid w:val="004C0CE0"/>
    <w:rsid w:val="00514215"/>
    <w:rsid w:val="00523DE5"/>
    <w:rsid w:val="00535E99"/>
    <w:rsid w:val="00550357"/>
    <w:rsid w:val="00557411"/>
    <w:rsid w:val="00571948"/>
    <w:rsid w:val="0057269F"/>
    <w:rsid w:val="005752F6"/>
    <w:rsid w:val="00586988"/>
    <w:rsid w:val="005B5C2A"/>
    <w:rsid w:val="005D1EB8"/>
    <w:rsid w:val="00607478"/>
    <w:rsid w:val="00631A4B"/>
    <w:rsid w:val="006476FA"/>
    <w:rsid w:val="0066562F"/>
    <w:rsid w:val="00691316"/>
    <w:rsid w:val="00692A66"/>
    <w:rsid w:val="006B69E4"/>
    <w:rsid w:val="006C5CBC"/>
    <w:rsid w:val="006D54CC"/>
    <w:rsid w:val="006E0C9C"/>
    <w:rsid w:val="00701144"/>
    <w:rsid w:val="00724F31"/>
    <w:rsid w:val="00732F41"/>
    <w:rsid w:val="0073740E"/>
    <w:rsid w:val="00737760"/>
    <w:rsid w:val="00781E06"/>
    <w:rsid w:val="00791142"/>
    <w:rsid w:val="00796010"/>
    <w:rsid w:val="007A5D1E"/>
    <w:rsid w:val="007B7606"/>
    <w:rsid w:val="007D1A37"/>
    <w:rsid w:val="007D55D9"/>
    <w:rsid w:val="007E49BF"/>
    <w:rsid w:val="00802977"/>
    <w:rsid w:val="00804658"/>
    <w:rsid w:val="00830D4D"/>
    <w:rsid w:val="00862041"/>
    <w:rsid w:val="00863E93"/>
    <w:rsid w:val="0088069C"/>
    <w:rsid w:val="00890E5F"/>
    <w:rsid w:val="008E7383"/>
    <w:rsid w:val="00921344"/>
    <w:rsid w:val="00925AF7"/>
    <w:rsid w:val="00926C70"/>
    <w:rsid w:val="00953EEF"/>
    <w:rsid w:val="00960CA7"/>
    <w:rsid w:val="009661B2"/>
    <w:rsid w:val="0097012C"/>
    <w:rsid w:val="00976B8C"/>
    <w:rsid w:val="009952D7"/>
    <w:rsid w:val="009A7ACF"/>
    <w:rsid w:val="009B1B97"/>
    <w:rsid w:val="009B6B84"/>
    <w:rsid w:val="009D4A44"/>
    <w:rsid w:val="009F2A58"/>
    <w:rsid w:val="009F5019"/>
    <w:rsid w:val="00A0056A"/>
    <w:rsid w:val="00A3158C"/>
    <w:rsid w:val="00A36A5D"/>
    <w:rsid w:val="00A82FBA"/>
    <w:rsid w:val="00AA08CA"/>
    <w:rsid w:val="00AA1823"/>
    <w:rsid w:val="00AA3F53"/>
    <w:rsid w:val="00AB0A91"/>
    <w:rsid w:val="00AB0F5A"/>
    <w:rsid w:val="00AB5E78"/>
    <w:rsid w:val="00AE1FF0"/>
    <w:rsid w:val="00B11C06"/>
    <w:rsid w:val="00B2249B"/>
    <w:rsid w:val="00B303A5"/>
    <w:rsid w:val="00B815C1"/>
    <w:rsid w:val="00B91E7B"/>
    <w:rsid w:val="00BB4E4D"/>
    <w:rsid w:val="00BC2E35"/>
    <w:rsid w:val="00BE1723"/>
    <w:rsid w:val="00BF306C"/>
    <w:rsid w:val="00C20EBE"/>
    <w:rsid w:val="00C24513"/>
    <w:rsid w:val="00CB4CCD"/>
    <w:rsid w:val="00CC21D6"/>
    <w:rsid w:val="00CF5391"/>
    <w:rsid w:val="00D13603"/>
    <w:rsid w:val="00D244CA"/>
    <w:rsid w:val="00D27762"/>
    <w:rsid w:val="00D46C78"/>
    <w:rsid w:val="00D47613"/>
    <w:rsid w:val="00D5236B"/>
    <w:rsid w:val="00DB1A3F"/>
    <w:rsid w:val="00DB3375"/>
    <w:rsid w:val="00DB3699"/>
    <w:rsid w:val="00DC3956"/>
    <w:rsid w:val="00DE6996"/>
    <w:rsid w:val="00E008A3"/>
    <w:rsid w:val="00E31BB8"/>
    <w:rsid w:val="00E34412"/>
    <w:rsid w:val="00E45D11"/>
    <w:rsid w:val="00E64141"/>
    <w:rsid w:val="00E709B7"/>
    <w:rsid w:val="00E73C95"/>
    <w:rsid w:val="00E821EA"/>
    <w:rsid w:val="00E8393D"/>
    <w:rsid w:val="00EA1411"/>
    <w:rsid w:val="00EA2837"/>
    <w:rsid w:val="00EA7C65"/>
    <w:rsid w:val="00EC133F"/>
    <w:rsid w:val="00EF2951"/>
    <w:rsid w:val="00F17860"/>
    <w:rsid w:val="00F325D6"/>
    <w:rsid w:val="00F334FC"/>
    <w:rsid w:val="00F40A8B"/>
    <w:rsid w:val="00F40B1E"/>
    <w:rsid w:val="00F508B7"/>
    <w:rsid w:val="00F665CC"/>
    <w:rsid w:val="00F73AE0"/>
    <w:rsid w:val="00FA47C1"/>
    <w:rsid w:val="00FB172C"/>
    <w:rsid w:val="00FD1166"/>
    <w:rsid w:val="00FD4689"/>
    <w:rsid w:val="00FE3883"/>
    <w:rsid w:val="00FE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9BF1"/>
  <w15:chartTrackingRefBased/>
  <w15:docId w15:val="{24CB04CE-9516-493F-AC19-963A8BE3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F29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EF29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EF29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EF29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EF2951"/>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EF2951"/>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EF295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EF295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F29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ormal bullet 2"/>
    <w:basedOn w:val="a"/>
    <w:link w:val="a4"/>
    <w:uiPriority w:val="99"/>
    <w:qFormat/>
    <w:rsid w:val="009D4A44"/>
    <w:pPr>
      <w:ind w:left="720"/>
      <w:contextualSpacing/>
    </w:pPr>
  </w:style>
  <w:style w:type="paragraph" w:styleId="a5">
    <w:name w:val="Plain Text"/>
    <w:basedOn w:val="a"/>
    <w:link w:val="a6"/>
    <w:uiPriority w:val="99"/>
    <w:semiHidden/>
    <w:unhideWhenUsed/>
    <w:rsid w:val="00647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6476FA"/>
    <w:rPr>
      <w:rFonts w:ascii="Times New Roman" w:eastAsia="Times New Roman" w:hAnsi="Times New Roman" w:cs="Times New Roman"/>
      <w:sz w:val="24"/>
      <w:szCs w:val="24"/>
      <w:lang w:val="ru-RU" w:eastAsia="ru-RU"/>
    </w:rPr>
  </w:style>
  <w:style w:type="character" w:styleId="a7">
    <w:name w:val="annotation reference"/>
    <w:basedOn w:val="a0"/>
    <w:unhideWhenUsed/>
    <w:rsid w:val="000E4A63"/>
    <w:rPr>
      <w:sz w:val="16"/>
      <w:szCs w:val="16"/>
    </w:rPr>
  </w:style>
  <w:style w:type="paragraph" w:styleId="a8">
    <w:name w:val="annotation text"/>
    <w:basedOn w:val="a"/>
    <w:link w:val="a9"/>
    <w:unhideWhenUsed/>
    <w:rsid w:val="000E4A63"/>
    <w:pPr>
      <w:spacing w:line="240" w:lineRule="auto"/>
    </w:pPr>
    <w:rPr>
      <w:sz w:val="20"/>
      <w:szCs w:val="20"/>
    </w:rPr>
  </w:style>
  <w:style w:type="character" w:customStyle="1" w:styleId="a9">
    <w:name w:val="Текст примечания Знак"/>
    <w:basedOn w:val="a0"/>
    <w:link w:val="a8"/>
    <w:rsid w:val="000E4A63"/>
    <w:rPr>
      <w:sz w:val="20"/>
      <w:szCs w:val="20"/>
    </w:rPr>
  </w:style>
  <w:style w:type="paragraph" w:styleId="aa">
    <w:name w:val="annotation subject"/>
    <w:basedOn w:val="a8"/>
    <w:next w:val="a8"/>
    <w:link w:val="ab"/>
    <w:uiPriority w:val="99"/>
    <w:semiHidden/>
    <w:unhideWhenUsed/>
    <w:rsid w:val="000E4A63"/>
    <w:rPr>
      <w:b/>
      <w:bCs/>
    </w:rPr>
  </w:style>
  <w:style w:type="character" w:customStyle="1" w:styleId="ab">
    <w:name w:val="Тема примечания Знак"/>
    <w:basedOn w:val="a9"/>
    <w:link w:val="aa"/>
    <w:uiPriority w:val="99"/>
    <w:semiHidden/>
    <w:rsid w:val="000E4A63"/>
    <w:rPr>
      <w:b/>
      <w:bCs/>
      <w:sz w:val="20"/>
      <w:szCs w:val="20"/>
    </w:rPr>
  </w:style>
  <w:style w:type="paragraph" w:styleId="ac">
    <w:name w:val="Balloon Text"/>
    <w:basedOn w:val="a"/>
    <w:link w:val="ad"/>
    <w:uiPriority w:val="99"/>
    <w:semiHidden/>
    <w:unhideWhenUsed/>
    <w:rsid w:val="000E4A6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4A63"/>
    <w:rPr>
      <w:rFonts w:ascii="Segoe UI" w:hAnsi="Segoe UI" w:cs="Segoe UI"/>
      <w:sz w:val="18"/>
      <w:szCs w:val="18"/>
    </w:rPr>
  </w:style>
  <w:style w:type="character" w:customStyle="1" w:styleId="21">
    <w:name w:val="Основной текст (2)_"/>
    <w:basedOn w:val="a0"/>
    <w:link w:val="22"/>
    <w:rsid w:val="00804658"/>
    <w:rPr>
      <w:rFonts w:ascii="Times New Roman" w:eastAsia="Times New Roman" w:hAnsi="Times New Roman" w:cs="Times New Roman"/>
      <w:sz w:val="16"/>
      <w:szCs w:val="16"/>
      <w:shd w:val="clear" w:color="auto" w:fill="FFFFFF"/>
    </w:rPr>
  </w:style>
  <w:style w:type="character" w:customStyle="1" w:styleId="2Exact">
    <w:name w:val="Основной текст (2) Exact"/>
    <w:basedOn w:val="a0"/>
    <w:rsid w:val="00804658"/>
    <w:rPr>
      <w:rFonts w:ascii="Times New Roman" w:eastAsia="Times New Roman" w:hAnsi="Times New Roman" w:cs="Times New Roman"/>
      <w:b w:val="0"/>
      <w:bCs w:val="0"/>
      <w:i w:val="0"/>
      <w:iCs w:val="0"/>
      <w:smallCaps w:val="0"/>
      <w:strike w:val="0"/>
      <w:sz w:val="16"/>
      <w:szCs w:val="16"/>
      <w:u w:val="none"/>
    </w:rPr>
  </w:style>
  <w:style w:type="paragraph" w:customStyle="1" w:styleId="22">
    <w:name w:val="Основной текст (2)"/>
    <w:basedOn w:val="a"/>
    <w:link w:val="21"/>
    <w:rsid w:val="00804658"/>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a4">
    <w:name w:val="Абзац списка Знак"/>
    <w:aliases w:val="Normal bullet 2 Знак"/>
    <w:link w:val="a3"/>
    <w:uiPriority w:val="34"/>
    <w:locked/>
    <w:rsid w:val="003C5B32"/>
  </w:style>
  <w:style w:type="character" w:customStyle="1" w:styleId="61">
    <w:name w:val="Основной текст (6)_"/>
    <w:basedOn w:val="a0"/>
    <w:link w:val="62"/>
    <w:rsid w:val="00111B90"/>
    <w:rPr>
      <w:rFonts w:ascii="Times New Roman" w:eastAsia="Times New Roman" w:hAnsi="Times New Roman" w:cs="Times New Roman"/>
      <w:b/>
      <w:bCs/>
      <w:shd w:val="clear" w:color="auto" w:fill="FFFFFF"/>
    </w:rPr>
  </w:style>
  <w:style w:type="paragraph" w:customStyle="1" w:styleId="62">
    <w:name w:val="Основной текст (6)"/>
    <w:basedOn w:val="a"/>
    <w:link w:val="61"/>
    <w:rsid w:val="00111B90"/>
    <w:pPr>
      <w:widowControl w:val="0"/>
      <w:shd w:val="clear" w:color="auto" w:fill="FFFFFF"/>
      <w:spacing w:before="540" w:after="8760" w:line="274" w:lineRule="exact"/>
      <w:ind w:hanging="220"/>
      <w:jc w:val="center"/>
    </w:pPr>
    <w:rPr>
      <w:rFonts w:ascii="Times New Roman" w:eastAsia="Times New Roman" w:hAnsi="Times New Roman" w:cs="Times New Roman"/>
      <w:b/>
      <w:bCs/>
    </w:rPr>
  </w:style>
  <w:style w:type="character" w:customStyle="1" w:styleId="23">
    <w:name w:val="Колонтитул (2)_"/>
    <w:basedOn w:val="a0"/>
    <w:link w:val="24"/>
    <w:rsid w:val="00111B90"/>
    <w:rPr>
      <w:rFonts w:ascii="Times New Roman" w:eastAsia="Times New Roman" w:hAnsi="Times New Roman" w:cs="Times New Roman"/>
      <w:shd w:val="clear" w:color="auto" w:fill="FFFFFF"/>
    </w:rPr>
  </w:style>
  <w:style w:type="paragraph" w:customStyle="1" w:styleId="24">
    <w:name w:val="Колонтитул (2)"/>
    <w:basedOn w:val="a"/>
    <w:link w:val="23"/>
    <w:rsid w:val="00111B90"/>
    <w:pPr>
      <w:widowControl w:val="0"/>
      <w:shd w:val="clear" w:color="auto" w:fill="FFFFFF"/>
      <w:spacing w:after="0" w:line="0" w:lineRule="atLeast"/>
    </w:pPr>
    <w:rPr>
      <w:rFonts w:ascii="Times New Roman" w:eastAsia="Times New Roman" w:hAnsi="Times New Roman" w:cs="Times New Roman"/>
    </w:rPr>
  </w:style>
  <w:style w:type="character" w:customStyle="1" w:styleId="ae">
    <w:name w:val="Оглавление_"/>
    <w:basedOn w:val="a0"/>
    <w:link w:val="af"/>
    <w:rsid w:val="00111B90"/>
    <w:rPr>
      <w:rFonts w:ascii="Times New Roman" w:eastAsia="Times New Roman" w:hAnsi="Times New Roman" w:cs="Times New Roman"/>
      <w:shd w:val="clear" w:color="auto" w:fill="FFFFFF"/>
    </w:rPr>
  </w:style>
  <w:style w:type="paragraph" w:customStyle="1" w:styleId="af">
    <w:name w:val="Оглавление"/>
    <w:basedOn w:val="a"/>
    <w:link w:val="ae"/>
    <w:rsid w:val="00111B90"/>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31">
    <w:name w:val="Колонтитул (3)"/>
    <w:basedOn w:val="a0"/>
    <w:rsid w:val="00111B9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5">
    <w:name w:val="Основной текст (2) + Курсив"/>
    <w:basedOn w:val="21"/>
    <w:rsid w:val="00111B9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paragraph" w:customStyle="1" w:styleId="rvps2">
    <w:name w:val="rvps2"/>
    <w:basedOn w:val="a"/>
    <w:rsid w:val="00802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487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rsid w:val="00487954"/>
    <w:rPr>
      <w:rFonts w:ascii="Courier New" w:eastAsia="Times New Roman" w:hAnsi="Courier New" w:cs="Courier New"/>
      <w:color w:val="000000"/>
      <w:sz w:val="21"/>
      <w:szCs w:val="21"/>
      <w:lang w:eastAsia="ru-RU"/>
    </w:rPr>
  </w:style>
  <w:style w:type="paragraph" w:styleId="af0">
    <w:name w:val="No Spacing"/>
    <w:qFormat/>
    <w:rsid w:val="004969FC"/>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EF295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EF295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EF2951"/>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EF2951"/>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EF2951"/>
    <w:rPr>
      <w:rFonts w:asciiTheme="majorHAnsi" w:eastAsiaTheme="majorEastAsia" w:hAnsiTheme="majorHAnsi" w:cstheme="majorBidi"/>
      <w:color w:val="2F5496" w:themeColor="accent1" w:themeShade="BF"/>
    </w:rPr>
  </w:style>
  <w:style w:type="character" w:customStyle="1" w:styleId="60">
    <w:name w:val="Заголовок 6 Знак"/>
    <w:basedOn w:val="a0"/>
    <w:link w:val="6"/>
    <w:uiPriority w:val="9"/>
    <w:semiHidden/>
    <w:rsid w:val="00EF2951"/>
    <w:rPr>
      <w:rFonts w:asciiTheme="majorHAnsi" w:eastAsiaTheme="majorEastAsia" w:hAnsiTheme="majorHAnsi" w:cstheme="majorBidi"/>
      <w:color w:val="1F3763" w:themeColor="accent1" w:themeShade="7F"/>
    </w:rPr>
  </w:style>
  <w:style w:type="character" w:customStyle="1" w:styleId="70">
    <w:name w:val="Заголовок 7 Знак"/>
    <w:basedOn w:val="a0"/>
    <w:link w:val="7"/>
    <w:uiPriority w:val="9"/>
    <w:semiHidden/>
    <w:rsid w:val="00EF2951"/>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semiHidden/>
    <w:rsid w:val="00EF295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F2951"/>
    <w:rPr>
      <w:rFonts w:asciiTheme="majorHAnsi" w:eastAsiaTheme="majorEastAsia" w:hAnsiTheme="majorHAnsi" w:cstheme="majorBidi"/>
      <w:i/>
      <w:iCs/>
      <w:color w:val="272727" w:themeColor="text1" w:themeTint="D8"/>
      <w:sz w:val="21"/>
      <w:szCs w:val="21"/>
    </w:rPr>
  </w:style>
  <w:style w:type="paragraph" w:styleId="af1">
    <w:name w:val="Normal (Web)"/>
    <w:basedOn w:val="a"/>
    <w:uiPriority w:val="99"/>
    <w:unhideWhenUsed/>
    <w:rsid w:val="005D1E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contentbutton">
    <w:name w:val="incontentbutton"/>
    <w:basedOn w:val="a0"/>
    <w:rsid w:val="005D1EB8"/>
  </w:style>
  <w:style w:type="character" w:styleId="af2">
    <w:name w:val="Hyperlink"/>
    <w:basedOn w:val="a0"/>
    <w:uiPriority w:val="99"/>
    <w:semiHidden/>
    <w:unhideWhenUsed/>
    <w:rsid w:val="005D1EB8"/>
    <w:rPr>
      <w:color w:val="0000FF"/>
      <w:u w:val="single"/>
    </w:rPr>
  </w:style>
  <w:style w:type="character" w:styleId="af3">
    <w:name w:val="Strong"/>
    <w:basedOn w:val="a0"/>
    <w:uiPriority w:val="22"/>
    <w:qFormat/>
    <w:rsid w:val="00781E06"/>
    <w:rPr>
      <w:b/>
      <w:bCs/>
    </w:rPr>
  </w:style>
  <w:style w:type="character" w:customStyle="1" w:styleId="af4">
    <w:name w:val="Основной текст_"/>
    <w:link w:val="26"/>
    <w:uiPriority w:val="99"/>
    <w:rsid w:val="00E31BB8"/>
    <w:rPr>
      <w:rFonts w:ascii="Tahoma" w:hAnsi="Tahoma" w:cs="Tahoma"/>
      <w:spacing w:val="10"/>
      <w:sz w:val="19"/>
      <w:szCs w:val="19"/>
      <w:shd w:val="clear" w:color="auto" w:fill="FFFFFF"/>
    </w:rPr>
  </w:style>
  <w:style w:type="character" w:customStyle="1" w:styleId="2TrebuchetMS">
    <w:name w:val="Заголовок №2 + Trebuchet MS"/>
    <w:aliases w:val="112,5 pt2,Не полужирный,Интервал 0 pt"/>
    <w:uiPriority w:val="99"/>
    <w:rsid w:val="00E31BB8"/>
    <w:rPr>
      <w:rFonts w:ascii="Trebuchet MS" w:hAnsi="Trebuchet MS" w:cs="Trebuchet MS"/>
      <w:b/>
      <w:bCs/>
      <w:spacing w:val="0"/>
      <w:sz w:val="23"/>
      <w:szCs w:val="23"/>
    </w:rPr>
  </w:style>
  <w:style w:type="character" w:customStyle="1" w:styleId="2TrebuchetMS1">
    <w:name w:val="Заголовок №2 + Trebuchet MS1"/>
    <w:aliases w:val="111,5 pt1,Не полужирный1,Интервал 0 pt1"/>
    <w:uiPriority w:val="99"/>
    <w:rsid w:val="00E31BB8"/>
    <w:rPr>
      <w:rFonts w:ascii="Trebuchet MS" w:hAnsi="Trebuchet MS" w:cs="Trebuchet MS"/>
      <w:b/>
      <w:bCs/>
      <w:spacing w:val="0"/>
      <w:sz w:val="23"/>
      <w:szCs w:val="23"/>
    </w:rPr>
  </w:style>
  <w:style w:type="paragraph" w:customStyle="1" w:styleId="26">
    <w:name w:val="Основной текст2"/>
    <w:basedOn w:val="a"/>
    <w:link w:val="af4"/>
    <w:uiPriority w:val="99"/>
    <w:rsid w:val="00E31BB8"/>
    <w:pPr>
      <w:shd w:val="clear" w:color="auto" w:fill="FFFFFF"/>
      <w:spacing w:after="300" w:line="245" w:lineRule="exact"/>
    </w:pPr>
    <w:rPr>
      <w:rFonts w:ascii="Tahoma" w:hAnsi="Tahoma" w:cs="Tahoma"/>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2633">
      <w:bodyDiv w:val="1"/>
      <w:marLeft w:val="0"/>
      <w:marRight w:val="0"/>
      <w:marTop w:val="0"/>
      <w:marBottom w:val="0"/>
      <w:divBdr>
        <w:top w:val="none" w:sz="0" w:space="0" w:color="auto"/>
        <w:left w:val="none" w:sz="0" w:space="0" w:color="auto"/>
        <w:bottom w:val="none" w:sz="0" w:space="0" w:color="auto"/>
        <w:right w:val="none" w:sz="0" w:space="0" w:color="auto"/>
      </w:divBdr>
    </w:div>
    <w:div w:id="157352861">
      <w:bodyDiv w:val="1"/>
      <w:marLeft w:val="0"/>
      <w:marRight w:val="0"/>
      <w:marTop w:val="0"/>
      <w:marBottom w:val="0"/>
      <w:divBdr>
        <w:top w:val="none" w:sz="0" w:space="0" w:color="auto"/>
        <w:left w:val="none" w:sz="0" w:space="0" w:color="auto"/>
        <w:bottom w:val="none" w:sz="0" w:space="0" w:color="auto"/>
        <w:right w:val="none" w:sz="0" w:space="0" w:color="auto"/>
      </w:divBdr>
    </w:div>
    <w:div w:id="337469027">
      <w:bodyDiv w:val="1"/>
      <w:marLeft w:val="0"/>
      <w:marRight w:val="0"/>
      <w:marTop w:val="0"/>
      <w:marBottom w:val="0"/>
      <w:divBdr>
        <w:top w:val="none" w:sz="0" w:space="0" w:color="auto"/>
        <w:left w:val="none" w:sz="0" w:space="0" w:color="auto"/>
        <w:bottom w:val="none" w:sz="0" w:space="0" w:color="auto"/>
        <w:right w:val="none" w:sz="0" w:space="0" w:color="auto"/>
      </w:divBdr>
    </w:div>
    <w:div w:id="363601815">
      <w:bodyDiv w:val="1"/>
      <w:marLeft w:val="0"/>
      <w:marRight w:val="0"/>
      <w:marTop w:val="0"/>
      <w:marBottom w:val="0"/>
      <w:divBdr>
        <w:top w:val="none" w:sz="0" w:space="0" w:color="auto"/>
        <w:left w:val="none" w:sz="0" w:space="0" w:color="auto"/>
        <w:bottom w:val="none" w:sz="0" w:space="0" w:color="auto"/>
        <w:right w:val="none" w:sz="0" w:space="0" w:color="auto"/>
      </w:divBdr>
    </w:div>
    <w:div w:id="436371426">
      <w:bodyDiv w:val="1"/>
      <w:marLeft w:val="0"/>
      <w:marRight w:val="0"/>
      <w:marTop w:val="0"/>
      <w:marBottom w:val="0"/>
      <w:divBdr>
        <w:top w:val="none" w:sz="0" w:space="0" w:color="auto"/>
        <w:left w:val="none" w:sz="0" w:space="0" w:color="auto"/>
        <w:bottom w:val="none" w:sz="0" w:space="0" w:color="auto"/>
        <w:right w:val="none" w:sz="0" w:space="0" w:color="auto"/>
      </w:divBdr>
    </w:div>
    <w:div w:id="468090533">
      <w:bodyDiv w:val="1"/>
      <w:marLeft w:val="0"/>
      <w:marRight w:val="0"/>
      <w:marTop w:val="0"/>
      <w:marBottom w:val="0"/>
      <w:divBdr>
        <w:top w:val="none" w:sz="0" w:space="0" w:color="auto"/>
        <w:left w:val="none" w:sz="0" w:space="0" w:color="auto"/>
        <w:bottom w:val="none" w:sz="0" w:space="0" w:color="auto"/>
        <w:right w:val="none" w:sz="0" w:space="0" w:color="auto"/>
      </w:divBdr>
    </w:div>
    <w:div w:id="501240052">
      <w:bodyDiv w:val="1"/>
      <w:marLeft w:val="0"/>
      <w:marRight w:val="0"/>
      <w:marTop w:val="0"/>
      <w:marBottom w:val="0"/>
      <w:divBdr>
        <w:top w:val="none" w:sz="0" w:space="0" w:color="auto"/>
        <w:left w:val="none" w:sz="0" w:space="0" w:color="auto"/>
        <w:bottom w:val="none" w:sz="0" w:space="0" w:color="auto"/>
        <w:right w:val="none" w:sz="0" w:space="0" w:color="auto"/>
      </w:divBdr>
    </w:div>
    <w:div w:id="635455643">
      <w:bodyDiv w:val="1"/>
      <w:marLeft w:val="0"/>
      <w:marRight w:val="0"/>
      <w:marTop w:val="0"/>
      <w:marBottom w:val="0"/>
      <w:divBdr>
        <w:top w:val="none" w:sz="0" w:space="0" w:color="auto"/>
        <w:left w:val="none" w:sz="0" w:space="0" w:color="auto"/>
        <w:bottom w:val="none" w:sz="0" w:space="0" w:color="auto"/>
        <w:right w:val="none" w:sz="0" w:space="0" w:color="auto"/>
      </w:divBdr>
    </w:div>
    <w:div w:id="797383345">
      <w:bodyDiv w:val="1"/>
      <w:marLeft w:val="0"/>
      <w:marRight w:val="0"/>
      <w:marTop w:val="0"/>
      <w:marBottom w:val="0"/>
      <w:divBdr>
        <w:top w:val="none" w:sz="0" w:space="0" w:color="auto"/>
        <w:left w:val="none" w:sz="0" w:space="0" w:color="auto"/>
        <w:bottom w:val="none" w:sz="0" w:space="0" w:color="auto"/>
        <w:right w:val="none" w:sz="0" w:space="0" w:color="auto"/>
      </w:divBdr>
    </w:div>
    <w:div w:id="842283648">
      <w:bodyDiv w:val="1"/>
      <w:marLeft w:val="0"/>
      <w:marRight w:val="0"/>
      <w:marTop w:val="0"/>
      <w:marBottom w:val="0"/>
      <w:divBdr>
        <w:top w:val="none" w:sz="0" w:space="0" w:color="auto"/>
        <w:left w:val="none" w:sz="0" w:space="0" w:color="auto"/>
        <w:bottom w:val="none" w:sz="0" w:space="0" w:color="auto"/>
        <w:right w:val="none" w:sz="0" w:space="0" w:color="auto"/>
      </w:divBdr>
    </w:div>
    <w:div w:id="1078946487">
      <w:bodyDiv w:val="1"/>
      <w:marLeft w:val="0"/>
      <w:marRight w:val="0"/>
      <w:marTop w:val="0"/>
      <w:marBottom w:val="0"/>
      <w:divBdr>
        <w:top w:val="none" w:sz="0" w:space="0" w:color="auto"/>
        <w:left w:val="none" w:sz="0" w:space="0" w:color="auto"/>
        <w:bottom w:val="none" w:sz="0" w:space="0" w:color="auto"/>
        <w:right w:val="none" w:sz="0" w:space="0" w:color="auto"/>
      </w:divBdr>
    </w:div>
    <w:div w:id="1182740311">
      <w:bodyDiv w:val="1"/>
      <w:marLeft w:val="0"/>
      <w:marRight w:val="0"/>
      <w:marTop w:val="0"/>
      <w:marBottom w:val="0"/>
      <w:divBdr>
        <w:top w:val="none" w:sz="0" w:space="0" w:color="auto"/>
        <w:left w:val="none" w:sz="0" w:space="0" w:color="auto"/>
        <w:bottom w:val="none" w:sz="0" w:space="0" w:color="auto"/>
        <w:right w:val="none" w:sz="0" w:space="0" w:color="auto"/>
      </w:divBdr>
    </w:div>
    <w:div w:id="1209610758">
      <w:bodyDiv w:val="1"/>
      <w:marLeft w:val="0"/>
      <w:marRight w:val="0"/>
      <w:marTop w:val="0"/>
      <w:marBottom w:val="0"/>
      <w:divBdr>
        <w:top w:val="none" w:sz="0" w:space="0" w:color="auto"/>
        <w:left w:val="none" w:sz="0" w:space="0" w:color="auto"/>
        <w:bottom w:val="none" w:sz="0" w:space="0" w:color="auto"/>
        <w:right w:val="none" w:sz="0" w:space="0" w:color="auto"/>
      </w:divBdr>
    </w:div>
    <w:div w:id="1275476576">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532113466">
      <w:bodyDiv w:val="1"/>
      <w:marLeft w:val="0"/>
      <w:marRight w:val="0"/>
      <w:marTop w:val="0"/>
      <w:marBottom w:val="0"/>
      <w:divBdr>
        <w:top w:val="none" w:sz="0" w:space="0" w:color="auto"/>
        <w:left w:val="none" w:sz="0" w:space="0" w:color="auto"/>
        <w:bottom w:val="none" w:sz="0" w:space="0" w:color="auto"/>
        <w:right w:val="none" w:sz="0" w:space="0" w:color="auto"/>
      </w:divBdr>
    </w:div>
    <w:div w:id="1536582225">
      <w:bodyDiv w:val="1"/>
      <w:marLeft w:val="0"/>
      <w:marRight w:val="0"/>
      <w:marTop w:val="0"/>
      <w:marBottom w:val="0"/>
      <w:divBdr>
        <w:top w:val="none" w:sz="0" w:space="0" w:color="auto"/>
        <w:left w:val="none" w:sz="0" w:space="0" w:color="auto"/>
        <w:bottom w:val="none" w:sz="0" w:space="0" w:color="auto"/>
        <w:right w:val="none" w:sz="0" w:space="0" w:color="auto"/>
      </w:divBdr>
    </w:div>
    <w:div w:id="1688485346">
      <w:bodyDiv w:val="1"/>
      <w:marLeft w:val="0"/>
      <w:marRight w:val="0"/>
      <w:marTop w:val="0"/>
      <w:marBottom w:val="0"/>
      <w:divBdr>
        <w:top w:val="none" w:sz="0" w:space="0" w:color="auto"/>
        <w:left w:val="none" w:sz="0" w:space="0" w:color="auto"/>
        <w:bottom w:val="none" w:sz="0" w:space="0" w:color="auto"/>
        <w:right w:val="none" w:sz="0" w:space="0" w:color="auto"/>
      </w:divBdr>
    </w:div>
    <w:div w:id="19400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TotalTime>
  <Pages>6</Pages>
  <Words>1740</Words>
  <Characters>9918</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Афанасьєва Ганна Геннадіївна</dc:creator>
  <cp:keywords/>
  <dc:description/>
  <cp:lastModifiedBy>Galina Kucherenko</cp:lastModifiedBy>
  <cp:revision>118</cp:revision>
  <cp:lastPrinted>2020-09-07T08:58:00Z</cp:lastPrinted>
  <dcterms:created xsi:type="dcterms:W3CDTF">2022-09-21T11:20:00Z</dcterms:created>
  <dcterms:modified xsi:type="dcterms:W3CDTF">2023-11-29T14:54:00Z</dcterms:modified>
</cp:coreProperties>
</file>